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The LED Illuminating Light Fixture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«Bonus</w:t>
      </w:r>
      <w:r w:rsidR="00A21906" w:rsidRPr="00A2190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85A72" w:rsidRPr="00585A72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A21906">
        <w:rPr>
          <w:rFonts w:ascii="Times New Roman" w:hAnsi="Times New Roman" w:cs="Times New Roman"/>
          <w:b/>
          <w:sz w:val="24"/>
          <w:szCs w:val="24"/>
          <w:lang w:val="en-US"/>
        </w:rPr>
        <w:t>» SSO-A-</w:t>
      </w:r>
      <w:r w:rsidR="00585A72" w:rsidRPr="00585A72">
        <w:rPr>
          <w:rFonts w:ascii="Times New Roman" w:hAnsi="Times New Roman" w:cs="Times New Roman"/>
          <w:b/>
          <w:sz w:val="24"/>
          <w:szCs w:val="24"/>
          <w:lang w:val="en-US"/>
        </w:rPr>
        <w:t>220</w:t>
      </w:r>
      <w:r w:rsidR="00A21906">
        <w:rPr>
          <w:rFonts w:ascii="Times New Roman" w:hAnsi="Times New Roman" w:cs="Times New Roman"/>
          <w:b/>
          <w:sz w:val="24"/>
          <w:szCs w:val="24"/>
          <w:lang w:val="en-US"/>
        </w:rPr>
        <w:t>-0</w:t>
      </w:r>
      <w:r w:rsidR="00585A72" w:rsidRPr="00585A72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-N, T-MC</w:t>
      </w:r>
      <w:r w:rsidR="00585A72" w:rsidRPr="00585A7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585A72" w:rsidRPr="00BA7DE2" w:rsidRDefault="00585A72" w:rsidP="00585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OPERATING MANUAL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TS 3461-005-41677105-09</w:t>
      </w:r>
      <w:r w:rsidRPr="00987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OM</w:t>
      </w:r>
    </w:p>
    <w:p w:rsidR="00125877" w:rsidRDefault="00125877" w:rsidP="00125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1823" w:rsidRDefault="00AE057E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The present operating manual (further named OM) is used for operating </w:t>
      </w:r>
      <w:r w:rsidR="008A182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LED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illuminating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A21906" w:rsidRPr="00A2190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” (further named the light).</w:t>
      </w:r>
    </w:p>
    <w:p w:rsidR="008A1823" w:rsidRPr="006C70E6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The OM contains construction data, operating rules and application characteristics, maintenance recommendations and other data necessary for the correct operation of the light.</w:t>
      </w:r>
    </w:p>
    <w:p w:rsidR="00AE057E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Only after being instructed, going through safe working methods, checking of safety rules with further certifying a safety access qualification level, one is admitted for electrical installation, inspection and maintenance of the light unit.</w:t>
      </w:r>
    </w:p>
    <w:p w:rsidR="00AE057E" w:rsidRPr="00AE057E" w:rsidRDefault="00AE057E" w:rsidP="00125877">
      <w:pPr>
        <w:tabs>
          <w:tab w:val="left" w:pos="3330"/>
        </w:tabs>
        <w:spacing w:after="0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 Description and Operating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1.1 Light Assignment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1.1.1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light is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used for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illumination of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residential, industrial and public premise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314CB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The light can be mounted indoors and outdoors. The light can be used in industrial and commercial buildings.</w:t>
      </w:r>
    </w:p>
    <w:p w:rsidR="00C93CCA" w:rsidRDefault="00C93CCA" w:rsidP="00125877">
      <w:pPr>
        <w:tabs>
          <w:tab w:val="left" w:pos="3330"/>
        </w:tabs>
        <w:spacing w:after="0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CCA">
        <w:rPr>
          <w:rFonts w:ascii="Times New Roman" w:hAnsi="Times New Roman" w:cs="Times New Roman"/>
          <w:b/>
          <w:sz w:val="24"/>
          <w:szCs w:val="24"/>
          <w:lang w:val="en-US"/>
        </w:rPr>
        <w:t>1.2 Technical data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93CCA" w:rsidRPr="00FA5685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 Supply voltage range - 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140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÷ 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265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(50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±10%) Hz or 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÷ 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370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1.2.2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Relative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umidity up to 95% (at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temperature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+40°C).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1.2.3 Working temperature from minus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0°C up to plus 60°C.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1.2.4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olor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emission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color)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4 000, N (normal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4 000 </w:t>
      </w:r>
      <w:proofErr w:type="gramStart"/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proofErr w:type="gramEnd"/>
      <w:r w:rsidR="004B4BE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000.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1.2.5 R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ipple factor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 flux is not more than 5%.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1.2.6 P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ower factor is not less than 0.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1.2.7 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limatic category MC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EE31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864BF" w:rsidRPr="00DD1C9C" w:rsidRDefault="00EE31E8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1.2.8</w:t>
      </w:r>
      <w:r w:rsidR="007864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1C9C" w:rsidRPr="00DD1C9C">
        <w:rPr>
          <w:rFonts w:ascii="Times New Roman" w:hAnsi="Times New Roman" w:cs="Times New Roman"/>
          <w:bCs/>
          <w:sz w:val="24"/>
          <w:szCs w:val="24"/>
          <w:lang w:val="en-US"/>
        </w:rPr>
        <w:t>Electric shock protection class 1 according to IEC 60598-1.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1.2.9 The lighting source – LED semiconductor module.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1.2.10 </w:t>
      </w:r>
      <w:r w:rsidR="002B234F">
        <w:rPr>
          <w:rFonts w:ascii="Times New Roman" w:hAnsi="Times New Roman" w:cs="Times New Roman"/>
          <w:sz w:val="24"/>
          <w:szCs w:val="24"/>
          <w:lang w:val="en-US"/>
        </w:rPr>
        <w:t>Ingress protection</w:t>
      </w:r>
      <w:r w:rsidR="006C70E6"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according to IEC 529</w:t>
      </w:r>
      <w:r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is not worse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than IP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10B9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34D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1.2.11 </w:t>
      </w:r>
      <w:proofErr w:type="gramStart"/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B0F55" w:rsidRPr="00E97B61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EB0F55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is not less than 100 000 hours.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1.2.12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Shelf life</w:t>
      </w:r>
      <w:r w:rsidR="00EB0F55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date is 3 years.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1.2.13 F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ire safety is up to </w:t>
      </w:r>
      <w:r w:rsidR="00F314CB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D21" w:rsidRDefault="00E34D21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electrical and illuminating light parameters should correspond to the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able 1.</w:t>
      </w:r>
    </w:p>
    <w:p w:rsidR="00EB0F55" w:rsidRDefault="00EB0F55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</w:t>
      </w:r>
    </w:p>
    <w:tbl>
      <w:tblPr>
        <w:tblW w:w="5388" w:type="pct"/>
        <w:tblInd w:w="-743" w:type="dxa"/>
        <w:tblLook w:val="0000"/>
      </w:tblPr>
      <w:tblGrid>
        <w:gridCol w:w="1984"/>
        <w:gridCol w:w="3404"/>
        <w:gridCol w:w="1984"/>
        <w:gridCol w:w="2942"/>
      </w:tblGrid>
      <w:tr w:rsidR="00966FF9" w:rsidRPr="00585A72" w:rsidTr="00FA766B">
        <w:trPr>
          <w:trHeight w:val="454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F314CB">
            <w:pPr>
              <w:spacing w:after="0"/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Light flux*, lm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F314C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, </w:t>
            </w:r>
          </w:p>
          <w:p w:rsidR="00966FF9" w:rsidRPr="00F314CB" w:rsidRDefault="00966FF9" w:rsidP="00F314CB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F314CB">
              <w:rPr>
                <w:rFonts w:ascii="Times New Roman" w:eastAsia="Calibri" w:hAnsi="Times New Roman" w:cs="Times New Roman"/>
                <w:sz w:val="24"/>
                <w:lang w:val="en-US"/>
              </w:rPr>
              <w:t>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  <w:r w:rsidR="00F314CB">
              <w:rPr>
                <w:rFonts w:ascii="Times New Roman" w:eastAsia="Calibri" w:hAnsi="Times New Roman" w:cs="Times New Roman"/>
                <w:sz w:val="24"/>
                <w:lang w:val="en-US"/>
              </w:rPr>
              <w:t>, not more than</w:t>
            </w:r>
          </w:p>
        </w:tc>
      </w:tr>
      <w:tr w:rsidR="00966FF9" w:rsidRPr="002D3E2F" w:rsidTr="00FA766B"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FF9" w:rsidRPr="00C66562" w:rsidRDefault="00F314CB" w:rsidP="00585A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Bonus</w:t>
            </w:r>
            <w:r w:rsidR="00A21906">
              <w:rPr>
                <w:rFonts w:ascii="Times New Roman" w:hAnsi="Times New Roman" w:cs="Times New Roman"/>
                <w:sz w:val="24"/>
              </w:rPr>
              <w:t>-</w:t>
            </w:r>
            <w:r w:rsidR="00585A7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585A72" w:rsidRDefault="00EB0F55" w:rsidP="00585A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SS</w:t>
            </w:r>
            <w:r w:rsidR="00F314CB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-A-</w:t>
            </w:r>
            <w:r w:rsidR="00585A72">
              <w:rPr>
                <w:rFonts w:ascii="Times New Roman" w:hAnsi="Times New Roman" w:cs="Times New Roman"/>
                <w:sz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-0</w:t>
            </w:r>
            <w:r w:rsidR="00585A72">
              <w:rPr>
                <w:rFonts w:ascii="Times New Roman" w:hAnsi="Times New Roman" w:cs="Times New Roman"/>
                <w:sz w:val="24"/>
              </w:rPr>
              <w:t>21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-N,T-MC</w:t>
            </w:r>
            <w:r w:rsidR="00585A7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A57EB" w:rsidP="00585A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585A72">
              <w:rPr>
                <w:rFonts w:ascii="Times New Roman" w:hAnsi="Times New Roman" w:cs="Times New Roman"/>
                <w:sz w:val="24"/>
              </w:rPr>
              <w:t>0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9A57EB" w:rsidRDefault="00F314CB" w:rsidP="009A5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9A57EB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EB0F55" w:rsidRPr="00205850" w:rsidRDefault="00EB0F55" w:rsidP="00EB0F55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F46CE5" w:rsidRDefault="00F46CE5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1.2.1</w:t>
      </w:r>
      <w:r w:rsidR="00585A72" w:rsidRPr="00585A72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47E5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</w:t>
      </w:r>
      <w:r w:rsidR="00E10B9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kg.</w:t>
      </w:r>
    </w:p>
    <w:p w:rsidR="00D47E57" w:rsidRDefault="00D47E57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Overall view, 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 xml:space="preserve">maximum overall sizes and mounting dimensions of the light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 on pic.1</w:t>
      </w:r>
    </w:p>
    <w:p w:rsidR="007316F5" w:rsidRPr="00FA766B" w:rsidRDefault="00585A72" w:rsidP="00125877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59398" cy="3230027"/>
            <wp:effectExtent l="19050" t="0" r="7952" b="0"/>
            <wp:docPr id="2" name="Рисунок 1" descr="Габари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бари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396" cy="323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124" w:rsidRDefault="00FA5124" w:rsidP="00E10B9F">
      <w:pPr>
        <w:ind w:left="-993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604DD" w:rsidRDefault="008604DD" w:rsidP="00FA766B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Pic.1</w:t>
      </w:r>
    </w:p>
    <w:p w:rsidR="00DF70D9" w:rsidRDefault="00DF70D9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b/>
          <w:sz w:val="24"/>
          <w:szCs w:val="24"/>
          <w:lang w:val="en-US"/>
        </w:rPr>
        <w:t>The light completeness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1 The set consists of: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D72F7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Default="00D72F7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Pr="006D2AFC" w:rsidRDefault="00D72F7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A766B" w:rsidRDefault="00FA766B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662" w:rsidRPr="00054662" w:rsidRDefault="00054662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b/>
          <w:sz w:val="24"/>
          <w:szCs w:val="24"/>
          <w:lang w:val="en-US"/>
        </w:rPr>
        <w:t>1.4 Construction and Operation</w:t>
      </w:r>
    </w:p>
    <w:p w:rsidR="008662C3" w:rsidRDefault="00054662" w:rsidP="001D190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1.4.1 </w:t>
      </w:r>
      <w:r>
        <w:rPr>
          <w:rFonts w:ascii="Times New Roman" w:hAnsi="Times New Roman" w:cs="Times New Roman"/>
          <w:sz w:val="24"/>
          <w:szCs w:val="24"/>
          <w:lang w:val="en-US"/>
        </w:rPr>
        <w:t>The light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(see </w:t>
      </w:r>
      <w:proofErr w:type="spellStart"/>
      <w:r w:rsidRPr="00054662"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. 1) consists of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85A72">
        <w:rPr>
          <w:rFonts w:ascii="Times New Roman" w:hAnsi="Times New Roman" w:cs="Times New Roman"/>
          <w:sz w:val="24"/>
          <w:szCs w:val="24"/>
          <w:lang w:val="en-US"/>
        </w:rPr>
        <w:t xml:space="preserve"> plastic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 xml:space="preserve"> housing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as the structural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element of the light,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glass, LED semiconductor modules,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>contact device.</w:t>
      </w:r>
    </w:p>
    <w:p w:rsidR="00054662" w:rsidRP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1.4.2 Applica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tion of 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the light 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lang w:val="en-US"/>
        </w:rPr>
        <w:t>mponent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parts:</w:t>
      </w:r>
    </w:p>
    <w:p w:rsid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light </w:t>
      </w:r>
      <w:r>
        <w:rPr>
          <w:rFonts w:ascii="Times New Roman" w:hAnsi="Times New Roman" w:cs="Times New Roman"/>
          <w:sz w:val="24"/>
          <w:szCs w:val="24"/>
          <w:lang w:val="en-US"/>
        </w:rPr>
        <w:t>housing is a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structural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element </w:t>
      </w:r>
      <w:r>
        <w:rPr>
          <w:rFonts w:ascii="Times New Roman" w:hAnsi="Times New Roman" w:cs="Times New Roman"/>
          <w:sz w:val="24"/>
          <w:szCs w:val="24"/>
          <w:lang w:val="en-US"/>
        </w:rPr>
        <w:t>with installed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LED semiconductor modules,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contact device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power line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>connection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D1905" w:rsidRDefault="00EE4DF9" w:rsidP="001D190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glass</w:t>
      </w:r>
      <w:r w:rsidR="001D1905" w:rsidRPr="001D19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 xml:space="preserve">is set on the light housing and fixed </w:t>
      </w:r>
      <w:r w:rsidR="00DF70D9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585A72">
        <w:rPr>
          <w:rFonts w:ascii="Times New Roman" w:hAnsi="Times New Roman" w:cs="Times New Roman"/>
          <w:sz w:val="24"/>
          <w:szCs w:val="24"/>
          <w:lang w:val="en-US"/>
        </w:rPr>
        <w:t>screw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>s, the glass is intended for a LED module, a driver and a contact device environmental protection.</w:t>
      </w:r>
    </w:p>
    <w:p w:rsidR="00C1774C" w:rsidRPr="00760C08" w:rsidRDefault="00CA61ED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A6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Notes:  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the light construction is constantly </w:t>
      </w:r>
      <w:proofErr w:type="gramStart"/>
      <w:r w:rsidR="00760C08">
        <w:rPr>
          <w:rFonts w:ascii="Times New Roman" w:hAnsi="Times New Roman" w:cs="Times New Roman"/>
          <w:sz w:val="24"/>
          <w:szCs w:val="24"/>
          <w:lang w:val="en-US"/>
        </w:rPr>
        <w:t>developing,</w:t>
      </w:r>
      <w:proofErr w:type="gramEnd"/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therefore it is a subject to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changes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4B2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ing on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its reliability and technical parameters.</w:t>
      </w:r>
    </w:p>
    <w:p w:rsidR="00DF70D9" w:rsidRDefault="00DF70D9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b/>
          <w:sz w:val="24"/>
          <w:szCs w:val="24"/>
          <w:lang w:val="en-US"/>
        </w:rPr>
        <w:t>1.5 Marking</w:t>
      </w:r>
    </w:p>
    <w:p w:rsidR="009B1FDC" w:rsidRPr="009B1FDC" w:rsidRDefault="008C6AC6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1.5.1 The light marking is made according to requirements of GOST 9980.4.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E7C6E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arking 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contains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trademark of the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name of the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manufacturer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address of t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specification code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brand and type of the light;</w:t>
      </w:r>
    </w:p>
    <w:p w:rsidR="00A727BC" w:rsidRDefault="007267B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nominal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supply voltage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imum</w:t>
      </w:r>
      <w:proofErr w:type="gramEnd"/>
      <w:r w:rsidR="00270769">
        <w:rPr>
          <w:rFonts w:ascii="Times New Roman" w:hAnsi="Times New Roman" w:cs="Times New Roman"/>
          <w:sz w:val="24"/>
          <w:szCs w:val="24"/>
          <w:lang w:val="en-US"/>
        </w:rPr>
        <w:t xml:space="preserve"> power consumption,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IP code;</w:t>
      </w:r>
    </w:p>
    <w:p w:rsidR="00DF70D9" w:rsidRPr="009A57EB" w:rsidRDefault="00A727BC" w:rsidP="009A57E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year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and month</w:t>
      </w:r>
      <w:r w:rsidR="00270769" w:rsidRPr="00270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70769" w:rsidRPr="009B1FDC">
        <w:rPr>
          <w:rFonts w:ascii="Times New Roman" w:hAnsi="Times New Roman" w:cs="Times New Roman"/>
          <w:sz w:val="24"/>
          <w:szCs w:val="24"/>
          <w:lang w:val="en-US"/>
        </w:rPr>
        <w:t>manufactur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57EB" w:rsidRPr="009A57EB" w:rsidRDefault="009A57EB" w:rsidP="009A57E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F2477E" w:rsidRDefault="00F2477E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1.5.3 The </w:t>
      </w:r>
      <w:r w:rsidR="0001069D">
        <w:rPr>
          <w:rFonts w:ascii="Times New Roman" w:hAnsi="Times New Roman" w:cs="Times New Roman"/>
          <w:sz w:val="24"/>
          <w:szCs w:val="24"/>
          <w:lang w:val="en-US"/>
        </w:rPr>
        <w:t>type designation</w:t>
      </w:r>
    </w:p>
    <w:p w:rsidR="00CA0B69" w:rsidRPr="00987528" w:rsidRDefault="00344B14" w:rsidP="00125877">
      <w:pPr>
        <w:spacing w:after="24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344B14">
        <w:rPr>
          <w:rFonts w:ascii="Times New Roman" w:hAnsi="Times New Roman" w:cs="Times New Roman"/>
          <w:sz w:val="24"/>
          <w:szCs w:val="24"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left:0;text-align:left;margin-left:78.5pt;margin-top:90.75pt;width:143.75pt;height:.05pt;rotation:270;z-index:251665408" o:connectortype="elbow" adj="10796,-105926400,-35371"/>
        </w:pict>
      </w:r>
      <w:r w:rsidRPr="00344B14">
        <w:rPr>
          <w:rFonts w:ascii="Times New Roman" w:hAnsi="Times New Roman" w:cs="Times New Roman"/>
          <w:sz w:val="24"/>
          <w:szCs w:val="24"/>
          <w:lang w:val="en-US"/>
        </w:rPr>
        <w:pict>
          <v:shape id="_x0000_s1028" type="#_x0000_t34" style="position:absolute;left:0;text-align:left;margin-left:97.95pt;margin-top:10.2pt;width:88.5pt;height:87.25pt;rotation:180;z-index:251662336" o:connectortype="elbow" adj="21490,-162885,-57661"/>
        </w:pict>
      </w:r>
      <w:r w:rsidRPr="00344B14">
        <w:rPr>
          <w:rFonts w:ascii="Times New Roman" w:hAnsi="Times New Roman" w:cs="Times New Roman"/>
          <w:sz w:val="24"/>
          <w:szCs w:val="24"/>
          <w:lang w:val="en-US"/>
        </w:rPr>
        <w:pict>
          <v:shape id="_x0000_s1030" type="#_x0000_t34" style="position:absolute;left:0;text-align:left;margin-left:67.7pt;margin-top:70.8pt;width:113pt;height:.05pt;rotation:270;z-index:251664384" o:connectortype="elbow" adj=",-90676800,-39989"/>
        </w:pict>
      </w:r>
      <w:r w:rsidRPr="00344B14">
        <w:rPr>
          <w:rFonts w:ascii="Times New Roman" w:hAnsi="Times New Roman" w:cs="Times New Roman"/>
          <w:sz w:val="24"/>
          <w:szCs w:val="24"/>
          <w:lang w:val="en-US"/>
        </w:rPr>
        <w:pict>
          <v:shape id="_x0000_s1027" type="#_x0000_t34" style="position:absolute;left:0;text-align:left;margin-left:71.75pt;margin-top:14.35pt;width:122.15pt;height:49.75pt;rotation:180;z-index:251661312" o:connectortype="elbow" adj="21538,-269381,-41626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DF70D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679A" w:rsidRPr="00CA0B69" w:rsidRDefault="00344B14" w:rsidP="00125877">
      <w:pPr>
        <w:spacing w:after="120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344B14">
        <w:rPr>
          <w:rFonts w:ascii="Times New Roman" w:hAnsi="Times New Roman" w:cs="Times New Roman"/>
          <w:sz w:val="24"/>
          <w:szCs w:val="24"/>
          <w:lang w:val="en-US"/>
        </w:rPr>
        <w:pict>
          <v:shape id="_x0000_s1026" type="#_x0000_t34" style="position:absolute;left:0;text-align:left;margin-left:50.8pt;margin-top:.9pt;width:148.85pt;height:9.05pt;rotation:180;z-index:251660288" o:connectortype="elbow" adj="21614,-178170,-34392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curve 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cosine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96192" w:rsidRPr="00CA0B69" w:rsidRDefault="00A96192" w:rsidP="00125877">
      <w:pPr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the nominal supply voltage;</w:t>
      </w:r>
    </w:p>
    <w:p w:rsidR="00A36989" w:rsidRDefault="00CA0B69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a batch number;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0B69" w:rsidRPr="00CA0B69" w:rsidRDefault="00344B14" w:rsidP="00125877">
      <w:pPr>
        <w:spacing w:after="120"/>
        <w:ind w:left="5245" w:hanging="99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24.15pt;margin-top:18pt;width:62.3pt;height:0;z-index:251666432" o:connectortype="straight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emission colo</w:t>
      </w:r>
      <w:r w:rsidR="00081594">
        <w:rPr>
          <w:rFonts w:ascii="Times New Roman" w:hAnsi="Times New Roman" w:cs="Times New Roman"/>
          <w:sz w:val="24"/>
          <w:szCs w:val="24"/>
          <w:lang w:val="en-US"/>
        </w:rPr>
        <w:t>r (N – norma</w:t>
      </w:r>
      <w:r w:rsidR="00A36989">
        <w:rPr>
          <w:rFonts w:ascii="Times New Roman" w:hAnsi="Times New Roman" w:cs="Times New Roman"/>
          <w:sz w:val="24"/>
          <w:szCs w:val="24"/>
          <w:lang w:val="en-US"/>
        </w:rPr>
        <w:t>l, T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– warm);</w:t>
      </w:r>
    </w:p>
    <w:p w:rsidR="00CA0B69" w:rsidRDefault="00344B14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50.4pt;margin-top:15.55pt;width:36.05pt;height:0;z-index:251667456" o:connectortype="straight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letters designate a climatic performance according to 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="00081594"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54D8" w:rsidRDefault="00F354D8" w:rsidP="00125877">
      <w:pPr>
        <w:tabs>
          <w:tab w:val="left" w:pos="9540"/>
        </w:tabs>
        <w:spacing w:before="80" w:after="0"/>
        <w:ind w:left="-851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54D8">
        <w:rPr>
          <w:rFonts w:ascii="Times New Roman" w:hAnsi="Times New Roman" w:cs="Times New Roman"/>
          <w:b/>
          <w:sz w:val="24"/>
          <w:szCs w:val="24"/>
          <w:lang w:val="en-US"/>
        </w:rPr>
        <w:t>1.6 Packaging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 xml:space="preserve">1.6.1 The package of the light is made according to GOST </w:t>
      </w:r>
      <w:r w:rsidR="00E10B9F">
        <w:rPr>
          <w:rFonts w:ascii="Times New Roman" w:hAnsi="Times New Roman" w:cs="Times New Roman"/>
          <w:sz w:val="24"/>
          <w:szCs w:val="24"/>
          <w:lang w:val="en-US"/>
        </w:rPr>
        <w:t>12301.</w:t>
      </w:r>
      <w:r w:rsidR="00CF22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1.6.2 The lights should be packed into a cargo container that provides their safety and protection against mechanical damages.</w:t>
      </w:r>
    </w:p>
    <w:p w:rsidR="00125877" w:rsidRPr="00F44D5F" w:rsidRDefault="00630A41" w:rsidP="00F44D5F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1.6.3 Manipulation signs should be marked on the cargo container: “Fragile”, “Keep dry”, “Top”, “Max quantity when stocking” according to ISO 780:2015.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655" w:rsidRPr="00EC4655" w:rsidRDefault="00EC4655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Intended </w:t>
      </w:r>
      <w:proofErr w:type="gramStart"/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Usage</w:t>
      </w:r>
      <w:proofErr w:type="gramEnd"/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 </w:t>
      </w:r>
      <w:r w:rsidR="000D0E67">
        <w:rPr>
          <w:rFonts w:ascii="Times New Roman" w:hAnsi="Times New Roman" w:cs="Times New Roman"/>
          <w:b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125877" w:rsidRDefault="009F134A" w:rsidP="009F134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 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of the 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intended for </w:t>
      </w:r>
      <w:r w:rsidR="00585A72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>
        <w:rPr>
          <w:rFonts w:ascii="Times New Roman" w:hAnsi="Times New Roman" w:cs="Times New Roman"/>
          <w:sz w:val="24"/>
          <w:szCs w:val="24"/>
          <w:lang w:val="en-US"/>
        </w:rPr>
        <w:t>illumination of residential and public premises, bathrooms, corridors, store rooms and etc.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2.2. Preparation for Use.</w:t>
      </w:r>
    </w:p>
    <w:p w:rsidR="00975C28" w:rsidRDefault="00975C28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4" style="position:absolute;left:0;text-align:left;margin-left:-48.05pt;margin-top:2.75pt;width:46pt;height:110.9pt;z-index:251668480;mso-wrap-distance-left:0;mso-wrap-distance-right:0" coordorigin="36,186" coordsize="920,2218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36;top:186;width:919;height:1858;mso-wrap-style:none;v-text-anchor:middle" strokecolor="gray">
              <v:fill type="frame"/>
              <v:stroke color2="#7f7f7f" joinstyle="round"/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60;top:2049;width:892;height:354" stroked="f" strokecolor="gray">
              <v:fill color2="black"/>
              <v:stroke color2="#7f7f7f" joinstyle="round"/>
              <v:textbox style="mso-rotate-with-shape:t">
                <w:txbxContent>
                  <w:p w:rsidR="00975C28" w:rsidRDefault="00975C28" w:rsidP="00975C28">
                    <w:r>
                      <w:t>Рис. 2</w:t>
                    </w:r>
                  </w:p>
                </w:txbxContent>
              </v:textbox>
            </v:shape>
            <w10:wrap type="square"/>
          </v:group>
        </w:pic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Installation of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wall or the ceiling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0D0E67">
        <w:rPr>
          <w:rFonts w:ascii="Times New Roman" w:hAnsi="Times New Roman" w:cs="Times New Roman"/>
          <w:sz w:val="24"/>
          <w:szCs w:val="24"/>
          <w:lang w:val="en-US"/>
        </w:rPr>
        <w:t>done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prior to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connecting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proofErr w:type="gramStart"/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electrical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>network</w:t>
      </w:r>
      <w:proofErr w:type="gramEnd"/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and the external grounding.</w:t>
      </w:r>
      <w:r w:rsidRPr="00975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75C28" w:rsidRPr="00EC4655" w:rsidRDefault="00975C28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2.2.2 To connect the light to the power line it is necessary: </w:t>
      </w:r>
    </w:p>
    <w:p w:rsidR="00975C28" w:rsidRDefault="00975C28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take off </w:t>
      </w:r>
      <w:r>
        <w:rPr>
          <w:rFonts w:ascii="Times New Roman" w:hAnsi="Times New Roman" w:cs="Times New Roman"/>
          <w:sz w:val="24"/>
          <w:szCs w:val="24"/>
          <w:lang w:val="en-US"/>
        </w:rPr>
        <w:t>the cover glass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>, unscrew</w:t>
      </w:r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US"/>
        </w:rPr>
        <w:t>wo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screws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75C28" w:rsidRDefault="00975C28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insert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>power line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through the hole in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housing and connect it to the contact device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is 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shown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75C28" w:rsidRDefault="00975C28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3C1C3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nstall </w:t>
      </w:r>
      <w:r>
        <w:rPr>
          <w:rFonts w:ascii="Times New Roman" w:hAnsi="Times New Roman" w:cs="Times New Roman"/>
          <w:sz w:val="24"/>
          <w:szCs w:val="24"/>
          <w:lang w:val="en-US"/>
        </w:rPr>
        <w:t>the cover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lass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with the frame 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housing</w:t>
      </w:r>
      <w:r w:rsidRPr="009F1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in reverse order.</w:t>
      </w:r>
    </w:p>
    <w:p w:rsidR="00975C28" w:rsidRDefault="00975C28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</w:p>
    <w:p w:rsidR="00C60D32" w:rsidRPr="00975C28" w:rsidRDefault="00C60D32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b/>
          <w:sz w:val="24"/>
          <w:szCs w:val="24"/>
          <w:lang w:val="en-US"/>
        </w:rPr>
        <w:t>Notes:</w:t>
      </w:r>
    </w:p>
    <w:p w:rsidR="003C1C3D" w:rsidRPr="00EC4655" w:rsidRDefault="00C60D3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sz w:val="24"/>
          <w:szCs w:val="24"/>
          <w:lang w:val="en-US"/>
        </w:rPr>
        <w:t>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equipped with technological wires connected to the network contact device. When the l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connected to the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power line it is necessary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E3B0C" w:rsidRPr="00C60D32">
        <w:rPr>
          <w:rFonts w:ascii="Times New Roman" w:hAnsi="Times New Roman" w:cs="Times New Roman"/>
          <w:sz w:val="24"/>
          <w:szCs w:val="24"/>
          <w:lang w:val="en-US"/>
        </w:rPr>
        <w:t>disconnect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technological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wires.</w:t>
      </w:r>
    </w:p>
    <w:p w:rsidR="009A57EB" w:rsidRPr="007267B5" w:rsidRDefault="009A57EB" w:rsidP="006D146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655" w:rsidRPr="00EA74D9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2.3 Safety Me</w:t>
      </w:r>
      <w:r w:rsidR="002631F9">
        <w:rPr>
          <w:rFonts w:ascii="Times New Roman" w:hAnsi="Times New Roman" w:cs="Times New Roman"/>
          <w:b/>
          <w:sz w:val="24"/>
          <w:szCs w:val="24"/>
          <w:lang w:val="en-US"/>
        </w:rPr>
        <w:t>asures</w:t>
      </w: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2.3.1 For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ensur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ing safety while operating the light it is forbidden: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carry out any operation of the light w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hen energized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assemble and operate the light with a damaged isolation of the wires.</w:t>
      </w:r>
    </w:p>
    <w:p w:rsidR="00EC4655" w:rsidRPr="00EC4655" w:rsidRDefault="00F417E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2.3.2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installing and operating the light it i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s necessary to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follow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4655" w:rsidRPr="00EC4655" w:rsidRDefault="00275CA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R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ules </w:t>
      </w:r>
      <w:r>
        <w:rPr>
          <w:rFonts w:ascii="Times New Roman" w:hAnsi="Times New Roman" w:cs="Times New Roman"/>
          <w:sz w:val="24"/>
          <w:szCs w:val="24"/>
          <w:lang w:val="en-US"/>
        </w:rPr>
        <w:t>of 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lectric</w:t>
      </w:r>
      <w:r>
        <w:rPr>
          <w:rFonts w:ascii="Times New Roman" w:hAnsi="Times New Roman" w:cs="Times New Roman"/>
          <w:sz w:val="24"/>
          <w:szCs w:val="24"/>
          <w:lang w:val="en-US"/>
        </w:rPr>
        <w:t>al Facilities Maintenance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present operating manual.</w:t>
      </w:r>
    </w:p>
    <w:p w:rsidR="00F417EA" w:rsidRDefault="00F417E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2.3.3</w:t>
      </w:r>
      <w:r w:rsidR="007866A9">
        <w:rPr>
          <w:rFonts w:ascii="Times New Roman" w:hAnsi="Times New Roman" w:cs="Times New Roman"/>
          <w:sz w:val="24"/>
          <w:szCs w:val="24"/>
          <w:lang w:val="en-US"/>
        </w:rPr>
        <w:t xml:space="preserve"> In order t</w:t>
      </w:r>
      <w:r w:rsidR="00071D19">
        <w:rPr>
          <w:rFonts w:ascii="Times New Roman" w:hAnsi="Times New Roman" w:cs="Times New Roman"/>
          <w:sz w:val="24"/>
          <w:szCs w:val="24"/>
          <w:lang w:val="en-US"/>
        </w:rPr>
        <w:t>o avoid electric shock</w:t>
      </w:r>
      <w:r w:rsidR="00071D19"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 w:rsidR="00071D19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="00071D19"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must be grounded.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3FB4" w:rsidRPr="006C3FB4" w:rsidRDefault="006C3FB4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b/>
          <w:sz w:val="24"/>
          <w:szCs w:val="24"/>
          <w:lang w:val="en-US"/>
        </w:rPr>
        <w:t>3 Storage and transportation</w:t>
      </w:r>
    </w:p>
    <w:p w:rsidR="006C3FB4" w:rsidRPr="00275CA9" w:rsidRDefault="006C3FB4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3.1 The light should be kept packed according to GOST 23216 for the storage </w:t>
      </w:r>
      <w:r w:rsidRPr="00275CA9">
        <w:rPr>
          <w:rFonts w:ascii="Times New Roman" w:hAnsi="Times New Roman" w:cs="Times New Roman"/>
          <w:sz w:val="24"/>
          <w:szCs w:val="24"/>
          <w:lang w:val="en-US"/>
        </w:rPr>
        <w:t xml:space="preserve">conditions 2 (c) 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IEC 60721-2-1:2013:1982</w:t>
      </w:r>
      <w:r w:rsidR="00275CA9" w:rsidRPr="00275C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IEC 60068-1:2013.</w:t>
      </w:r>
    </w:p>
    <w:p w:rsidR="006C3FB4" w:rsidRPr="006C3FB4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3.2. Transportation of the light can be carried out by any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kind of </w:t>
      </w:r>
      <w:r w:rsidRPr="006C3FB4">
        <w:rPr>
          <w:rFonts w:ascii="Times New Roman" w:hAnsi="Times New Roman" w:cs="Times New Roman"/>
          <w:sz w:val="24"/>
          <w:szCs w:val="24"/>
          <w:lang w:val="en-US"/>
        </w:rPr>
        <w:t>transport at any distance.</w:t>
      </w:r>
    </w:p>
    <w:p w:rsidR="00054662" w:rsidRPr="00C93CCA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3.3. When keeping and transporting the light should be protected against any atmospheric fallout.</w:t>
      </w:r>
    </w:p>
    <w:p w:rsidR="00E3077E" w:rsidRDefault="00E3077E" w:rsidP="0012587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662" w:rsidRPr="00E242EC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511C77">
        <w:rPr>
          <w:rFonts w:ascii="Times New Roman" w:hAnsi="Times New Roman" w:cs="Times New Roman"/>
          <w:b/>
          <w:sz w:val="24"/>
          <w:szCs w:val="24"/>
          <w:lang w:val="en-US"/>
        </w:rPr>
        <w:t>Recycling</w:t>
      </w:r>
    </w:p>
    <w:p w:rsidR="00054662" w:rsidRDefault="0005466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4.1 All the materials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used in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the light are not dangerous for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life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health and the environment. On completing the operation of the light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 xml:space="preserve">be disposed of in accordance with the 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DC16C1" w:rsidRPr="006D2AFC" w:rsidRDefault="00DC16C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7F0802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F01DE9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7F0802" w:rsidRPr="007F0802" w:rsidRDefault="007F0802" w:rsidP="00125877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5.1 The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manufacturer guarantees conformance of the light to requirements of technical specifications and normal work within 5 years since manufacture date if the customer meets requirements of transportation rules, storage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installation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operation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662" w:rsidRPr="00F44D5F" w:rsidRDefault="007F0802" w:rsidP="00F44D5F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>5.2. Within the warranty period damaged lights should be changed charge free by the manufacture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>ase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of observing installation and operating rules by the customer.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6 Reclamation Data</w:t>
      </w:r>
    </w:p>
    <w:p w:rsidR="006F60FE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6.1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claimed to the supplier in case of discovering damages that may lead to the breakdown of the light before the warranty expiration.  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 manufacturer address:</w:t>
      </w:r>
    </w:p>
    <w:p w:rsidR="007F0802" w:rsidRDefault="007F080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6F60FE" w:rsidRPr="006F60FE">
        <w:rPr>
          <w:rFonts w:ascii="Times New Roman" w:hAnsi="Times New Roman" w:cs="Times New Roman"/>
          <w:sz w:val="24"/>
          <w:szCs w:val="24"/>
          <w:lang w:val="en-US"/>
        </w:rPr>
        <w:t>tr., Orel, 302040, RUSSIA, JSC “Proton”.</w:t>
      </w:r>
      <w:proofErr w:type="gramEnd"/>
    </w:p>
    <w:p w:rsidR="007F0802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6.2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>In reclamation the light brand, damages, conditions at which they are discovered, the whole opera</w:t>
      </w:r>
      <w:r w:rsidR="00F44D5F">
        <w:rPr>
          <w:rFonts w:ascii="Times New Roman" w:hAnsi="Times New Roman" w:cs="Times New Roman"/>
          <w:sz w:val="24"/>
          <w:szCs w:val="24"/>
          <w:lang w:val="en-US"/>
        </w:rPr>
        <w:t>tion period should be specified.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There should be attached a copy of the payment document for the light.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7 Acceptance Certificate</w:t>
      </w:r>
    </w:p>
    <w:p w:rsid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7.1 The light </w:t>
      </w:r>
      <w:r w:rsidR="007F0802"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is manufactured and approved in accordance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with the compulsive State standards requirements, the present technical specifications TS 3461–00</w:t>
      </w:r>
      <w:r w:rsidR="00F44D5F">
        <w:rPr>
          <w:rFonts w:ascii="Times New Roman" w:hAnsi="Times New Roman" w:cs="Times New Roman"/>
          <w:sz w:val="24"/>
          <w:szCs w:val="24"/>
          <w:lang w:val="en-US"/>
        </w:rPr>
        <w:t>5–41677105–09</w:t>
      </w:r>
      <w:r w:rsid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and approved to be suitable for the operation.</w:t>
      </w:r>
      <w:r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62C3" w:rsidRDefault="008662C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8662C3" w:rsidRPr="00125877" w:rsidRDefault="008662C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125877" w:rsidRPr="00125877" w:rsidRDefault="008662C3" w:rsidP="008662C3">
      <w:pPr>
        <w:tabs>
          <w:tab w:val="left" w:pos="612"/>
        </w:tabs>
        <w:spacing w:after="0"/>
        <w:ind w:left="43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25877"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QCD stamp placeholder </w:t>
      </w: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9A57EB" w:rsidRDefault="006F60FE" w:rsidP="009A57E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:rsidR="00B63776" w:rsidRPr="00AE057E" w:rsidRDefault="006F60FE" w:rsidP="00125877">
      <w:pPr>
        <w:spacing w:after="0"/>
        <w:ind w:left="-851"/>
        <w:jc w:val="center"/>
        <w:rPr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sectPr w:rsidR="00B63776" w:rsidRPr="00AE057E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24A9"/>
    <w:multiLevelType w:val="hybridMultilevel"/>
    <w:tmpl w:val="F35A897A"/>
    <w:lvl w:ilvl="0" w:tplc="A7D2BBC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7DE2"/>
    <w:rsid w:val="0000679A"/>
    <w:rsid w:val="0001069D"/>
    <w:rsid w:val="00054662"/>
    <w:rsid w:val="00071D19"/>
    <w:rsid w:val="00081594"/>
    <w:rsid w:val="000D0E67"/>
    <w:rsid w:val="001245A5"/>
    <w:rsid w:val="00125877"/>
    <w:rsid w:val="001354C5"/>
    <w:rsid w:val="001463B5"/>
    <w:rsid w:val="001672A7"/>
    <w:rsid w:val="001A510F"/>
    <w:rsid w:val="001D1905"/>
    <w:rsid w:val="001E3B0C"/>
    <w:rsid w:val="001F3F76"/>
    <w:rsid w:val="002631F9"/>
    <w:rsid w:val="00270769"/>
    <w:rsid w:val="00275CA9"/>
    <w:rsid w:val="002B234F"/>
    <w:rsid w:val="002F1AB7"/>
    <w:rsid w:val="00304DB4"/>
    <w:rsid w:val="00344B14"/>
    <w:rsid w:val="003C1BCD"/>
    <w:rsid w:val="003C1C3D"/>
    <w:rsid w:val="0049373B"/>
    <w:rsid w:val="004B4BE6"/>
    <w:rsid w:val="004C356F"/>
    <w:rsid w:val="004D6EF4"/>
    <w:rsid w:val="004E7C6E"/>
    <w:rsid w:val="00511C77"/>
    <w:rsid w:val="005518C2"/>
    <w:rsid w:val="00585A72"/>
    <w:rsid w:val="005E3A02"/>
    <w:rsid w:val="00611BEC"/>
    <w:rsid w:val="00630A41"/>
    <w:rsid w:val="006C3FB4"/>
    <w:rsid w:val="006C6473"/>
    <w:rsid w:val="006C6574"/>
    <w:rsid w:val="006C70E6"/>
    <w:rsid w:val="006D1461"/>
    <w:rsid w:val="006F60FE"/>
    <w:rsid w:val="0071347B"/>
    <w:rsid w:val="007267B5"/>
    <w:rsid w:val="007316F5"/>
    <w:rsid w:val="00741B56"/>
    <w:rsid w:val="00755C0F"/>
    <w:rsid w:val="00760C08"/>
    <w:rsid w:val="007864BF"/>
    <w:rsid w:val="007866A9"/>
    <w:rsid w:val="007A2CD6"/>
    <w:rsid w:val="007A7475"/>
    <w:rsid w:val="007F0802"/>
    <w:rsid w:val="0084607B"/>
    <w:rsid w:val="008604DD"/>
    <w:rsid w:val="008662C3"/>
    <w:rsid w:val="008A1823"/>
    <w:rsid w:val="008C6AC6"/>
    <w:rsid w:val="00966FF9"/>
    <w:rsid w:val="00975C28"/>
    <w:rsid w:val="00987528"/>
    <w:rsid w:val="009A57EB"/>
    <w:rsid w:val="009B1FDC"/>
    <w:rsid w:val="009F134A"/>
    <w:rsid w:val="00A21906"/>
    <w:rsid w:val="00A36989"/>
    <w:rsid w:val="00A40B0B"/>
    <w:rsid w:val="00A50F9A"/>
    <w:rsid w:val="00A727BC"/>
    <w:rsid w:val="00A96192"/>
    <w:rsid w:val="00AE057E"/>
    <w:rsid w:val="00B30C23"/>
    <w:rsid w:val="00B63776"/>
    <w:rsid w:val="00BA7DE2"/>
    <w:rsid w:val="00C1774C"/>
    <w:rsid w:val="00C31B4F"/>
    <w:rsid w:val="00C4554B"/>
    <w:rsid w:val="00C46AA5"/>
    <w:rsid w:val="00C60D32"/>
    <w:rsid w:val="00C634B2"/>
    <w:rsid w:val="00C66562"/>
    <w:rsid w:val="00C757EC"/>
    <w:rsid w:val="00C93CCA"/>
    <w:rsid w:val="00CA0B69"/>
    <w:rsid w:val="00CA61ED"/>
    <w:rsid w:val="00CC3A5E"/>
    <w:rsid w:val="00CE74CB"/>
    <w:rsid w:val="00CF2281"/>
    <w:rsid w:val="00D42B3C"/>
    <w:rsid w:val="00D47E57"/>
    <w:rsid w:val="00D657A1"/>
    <w:rsid w:val="00D72F7C"/>
    <w:rsid w:val="00DB279F"/>
    <w:rsid w:val="00DB58B8"/>
    <w:rsid w:val="00DC16C1"/>
    <w:rsid w:val="00DD1C9C"/>
    <w:rsid w:val="00DF404B"/>
    <w:rsid w:val="00DF70D9"/>
    <w:rsid w:val="00E10B9F"/>
    <w:rsid w:val="00E3077E"/>
    <w:rsid w:val="00E34D21"/>
    <w:rsid w:val="00EA74D9"/>
    <w:rsid w:val="00EB0F55"/>
    <w:rsid w:val="00EC4655"/>
    <w:rsid w:val="00ED163A"/>
    <w:rsid w:val="00EE31E8"/>
    <w:rsid w:val="00EE4DF9"/>
    <w:rsid w:val="00F01DE9"/>
    <w:rsid w:val="00F17B00"/>
    <w:rsid w:val="00F2477E"/>
    <w:rsid w:val="00F314CB"/>
    <w:rsid w:val="00F354D8"/>
    <w:rsid w:val="00F417EA"/>
    <w:rsid w:val="00F44D5F"/>
    <w:rsid w:val="00F46CE5"/>
    <w:rsid w:val="00F81CFB"/>
    <w:rsid w:val="00FA5124"/>
    <w:rsid w:val="00FA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8" type="connector" idref="#_x0000_s1026"/>
        <o:r id="V:Rule9" type="connector" idref="#_x0000_s1030"/>
        <o:r id="V:Rule10" type="connector" idref="#_x0000_s1028"/>
        <o:r id="V:Rule11" type="connector" idref="#_x0000_s1027"/>
        <o:r id="V:Rule12" type="connector" idref="#_x0000_s1031"/>
        <o:r id="V:Rule13" type="connector" idref="#_x0000_s1033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5A5"/>
    <w:pPr>
      <w:ind w:left="720"/>
      <w:contextualSpacing/>
    </w:pPr>
  </w:style>
  <w:style w:type="paragraph" w:styleId="a6">
    <w:name w:val="Body Text Indent"/>
    <w:basedOn w:val="a"/>
    <w:link w:val="a7"/>
    <w:rsid w:val="00EC46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C465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8">
    <w:name w:val="Strong"/>
    <w:basedOn w:val="a0"/>
    <w:uiPriority w:val="22"/>
    <w:qFormat/>
    <w:rsid w:val="00275C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67</cp:revision>
  <dcterms:created xsi:type="dcterms:W3CDTF">2019-05-20T09:37:00Z</dcterms:created>
  <dcterms:modified xsi:type="dcterms:W3CDTF">2019-05-30T12:09:00Z</dcterms:modified>
</cp:coreProperties>
</file>